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hu110.ketoldalu-ragasztoszalag-hu.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hu110.ketoldalu-ragasztoszalag-hu.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hu110.ketoldalu-ragasztoszalag-hu.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hu110.ketoldalu-ragasztoszalag-hu.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hu110.ketoldalu-ragasztoszalag-hu.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