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hu110.ketoldalu-ragasztoszalag-hu.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hu110.ketoldalu-ragasztoszalag-hu.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hu110.ketoldalu-ragasztoszalag-hu.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hu110.ketoldalu-ragasztoszalag-hu.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hu110.ketoldalu-ragasztoszalag-hu.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hu110.ketoldalu-ragasztoszalag-hu.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hu110.ketoldalu-ragasztoszalag-hu.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hu110.ketoldalu-ragasztoszalag-hu.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hu110.ketoldalu-ragasztoszalag-hu.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hu110.ketoldalu-ragasztoszalag-hu.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hu110.ketoldalu-ragasztoszalag-hu.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hu110.ketoldalu-ragasztoszalag-hu.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